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51B1E" w14:textId="7268B550" w:rsidR="00473298" w:rsidRPr="003E4AEB" w:rsidRDefault="003E4AEB">
      <w:pPr>
        <w:rPr>
          <w:b/>
          <w:bCs/>
        </w:rPr>
      </w:pPr>
      <w:r w:rsidRPr="003E4AEB">
        <w:rPr>
          <w:b/>
          <w:bCs/>
        </w:rPr>
        <w:t>New Soil and Groundwater Quality Guidelines from the Canadian Council of Ministers of the Environment and Implications for Contaminated Sites Assessment in Canada</w:t>
      </w:r>
    </w:p>
    <w:p w14:paraId="2114110C" w14:textId="19DECB7C" w:rsidR="003E4AEB" w:rsidRDefault="003E4AEB"/>
    <w:p w14:paraId="13310A86" w14:textId="5B6D6C2D" w:rsidR="003E4AEB" w:rsidRDefault="003E4AEB">
      <w:r>
        <w:rPr>
          <w:noProof/>
        </w:rPr>
        <w:drawing>
          <wp:inline distT="0" distB="0" distL="0" distR="0" wp14:anchorId="0FDBEEB7" wp14:editId="03619955">
            <wp:extent cx="5943600" cy="4100830"/>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943600" cy="4100830"/>
                    </a:xfrm>
                    <a:prstGeom prst="rect">
                      <a:avLst/>
                    </a:prstGeom>
                  </pic:spPr>
                </pic:pic>
              </a:graphicData>
            </a:graphic>
          </wp:inline>
        </w:drawing>
      </w:r>
    </w:p>
    <w:p w14:paraId="3E4BC821" w14:textId="77777777" w:rsidR="00D726F2" w:rsidRDefault="00D726F2"/>
    <w:p w14:paraId="6614502D" w14:textId="3ED6E3D1" w:rsidR="000B3568" w:rsidRDefault="00A30E6A">
      <w:r>
        <w:t xml:space="preserve">The Canadian Council for Ministers of the Environment (CCME) released soil and groundwater quality guidelines </w:t>
      </w:r>
      <w:r w:rsidR="001E25CA">
        <w:t>(</w:t>
      </w:r>
      <w:r w:rsidR="0031068B">
        <w:t>see</w:t>
      </w:r>
      <w:r w:rsidR="001E25CA">
        <w:t xml:space="preserve"> Table </w:t>
      </w:r>
      <w:r w:rsidR="0031068B">
        <w:t>below</w:t>
      </w:r>
      <w:r w:rsidR="001E25CA">
        <w:t xml:space="preserve">) </w:t>
      </w:r>
      <w:r>
        <w:t xml:space="preserve">for the protection of human and ecological health for </w:t>
      </w:r>
      <w:proofErr w:type="spellStart"/>
      <w:r>
        <w:t>perfluorooctane</w:t>
      </w:r>
      <w:proofErr w:type="spellEnd"/>
      <w:r>
        <w:t xml:space="preserve"> sulfonate (PFOS)</w:t>
      </w:r>
      <w:r w:rsidR="00D726F2">
        <w:t xml:space="preserve"> on September 21, 2021.</w:t>
      </w:r>
      <w:r w:rsidR="008154E7">
        <w:t xml:space="preserve">  </w:t>
      </w:r>
    </w:p>
    <w:p w14:paraId="533009B2" w14:textId="0CF4967B" w:rsidR="000B3568" w:rsidRPr="001E25CA" w:rsidRDefault="000B3568" w:rsidP="000B3568">
      <w:pPr>
        <w:rPr>
          <w:b/>
          <w:bCs/>
        </w:rPr>
      </w:pPr>
      <w:r w:rsidRPr="001E25CA">
        <w:rPr>
          <w:b/>
          <w:bCs/>
        </w:rPr>
        <w:t>CCME (2021) Soil Quality Guidelines for the Protection of Human and Ecological Health</w:t>
      </w:r>
      <w:r w:rsidR="00A96385">
        <w:rPr>
          <w:b/>
          <w:bCs/>
        </w:rPr>
        <w:t xml:space="preserve"> for Various Land Uses</w:t>
      </w:r>
    </w:p>
    <w:tbl>
      <w:tblPr>
        <w:tblStyle w:val="TableGrid"/>
        <w:tblW w:w="0" w:type="auto"/>
        <w:tblLook w:val="04A0" w:firstRow="1" w:lastRow="0" w:firstColumn="1" w:lastColumn="0" w:noHBand="0" w:noVBand="1"/>
      </w:tblPr>
      <w:tblGrid>
        <w:gridCol w:w="2547"/>
        <w:gridCol w:w="1984"/>
        <w:gridCol w:w="2268"/>
        <w:gridCol w:w="1985"/>
        <w:gridCol w:w="1843"/>
      </w:tblGrid>
      <w:tr w:rsidR="000B3568" w14:paraId="4D401A60" w14:textId="77777777" w:rsidTr="000B0885">
        <w:tc>
          <w:tcPr>
            <w:tcW w:w="2547" w:type="dxa"/>
            <w:shd w:val="clear" w:color="auto" w:fill="8EAADB" w:themeFill="accent1" w:themeFillTint="99"/>
          </w:tcPr>
          <w:p w14:paraId="4E62F95C" w14:textId="77777777" w:rsidR="000B3568" w:rsidRPr="00816BCD" w:rsidRDefault="000B3568" w:rsidP="00816BCD">
            <w:pPr>
              <w:rPr>
                <w:sz w:val="20"/>
                <w:szCs w:val="20"/>
              </w:rPr>
            </w:pPr>
          </w:p>
        </w:tc>
        <w:tc>
          <w:tcPr>
            <w:tcW w:w="1984" w:type="dxa"/>
            <w:shd w:val="clear" w:color="auto" w:fill="8EAADB" w:themeFill="accent1" w:themeFillTint="99"/>
          </w:tcPr>
          <w:p w14:paraId="4605156A" w14:textId="77777777" w:rsidR="000B3568" w:rsidRPr="00816BCD" w:rsidRDefault="000B3568" w:rsidP="00816BCD">
            <w:pPr>
              <w:jc w:val="center"/>
              <w:rPr>
                <w:b/>
                <w:bCs/>
                <w:sz w:val="20"/>
                <w:szCs w:val="20"/>
              </w:rPr>
            </w:pPr>
            <w:r w:rsidRPr="00816BCD">
              <w:rPr>
                <w:b/>
                <w:bCs/>
                <w:sz w:val="20"/>
                <w:szCs w:val="20"/>
              </w:rPr>
              <w:t>Agricultural</w:t>
            </w:r>
          </w:p>
        </w:tc>
        <w:tc>
          <w:tcPr>
            <w:tcW w:w="2268" w:type="dxa"/>
            <w:shd w:val="clear" w:color="auto" w:fill="8EAADB" w:themeFill="accent1" w:themeFillTint="99"/>
          </w:tcPr>
          <w:p w14:paraId="4C1358ED" w14:textId="77777777" w:rsidR="000B3568" w:rsidRPr="00816BCD" w:rsidRDefault="000B3568" w:rsidP="00816BCD">
            <w:pPr>
              <w:jc w:val="center"/>
              <w:rPr>
                <w:b/>
                <w:bCs/>
                <w:sz w:val="20"/>
                <w:szCs w:val="20"/>
              </w:rPr>
            </w:pPr>
            <w:r w:rsidRPr="00816BCD">
              <w:rPr>
                <w:b/>
                <w:bCs/>
                <w:sz w:val="20"/>
                <w:szCs w:val="20"/>
              </w:rPr>
              <w:t>Residential/Parkland</w:t>
            </w:r>
          </w:p>
        </w:tc>
        <w:tc>
          <w:tcPr>
            <w:tcW w:w="1985" w:type="dxa"/>
            <w:shd w:val="clear" w:color="auto" w:fill="8EAADB" w:themeFill="accent1" w:themeFillTint="99"/>
          </w:tcPr>
          <w:p w14:paraId="1D4758A3" w14:textId="77777777" w:rsidR="000B3568" w:rsidRPr="00816BCD" w:rsidRDefault="000B3568" w:rsidP="00816BCD">
            <w:pPr>
              <w:jc w:val="center"/>
              <w:rPr>
                <w:b/>
                <w:bCs/>
                <w:sz w:val="20"/>
                <w:szCs w:val="20"/>
              </w:rPr>
            </w:pPr>
            <w:r w:rsidRPr="00816BCD">
              <w:rPr>
                <w:b/>
                <w:bCs/>
                <w:sz w:val="20"/>
                <w:szCs w:val="20"/>
              </w:rPr>
              <w:t>Commercial</w:t>
            </w:r>
          </w:p>
        </w:tc>
        <w:tc>
          <w:tcPr>
            <w:tcW w:w="1843" w:type="dxa"/>
            <w:shd w:val="clear" w:color="auto" w:fill="8EAADB" w:themeFill="accent1" w:themeFillTint="99"/>
          </w:tcPr>
          <w:p w14:paraId="55202534" w14:textId="77777777" w:rsidR="000B3568" w:rsidRPr="00816BCD" w:rsidRDefault="000B3568" w:rsidP="00816BCD">
            <w:pPr>
              <w:jc w:val="center"/>
              <w:rPr>
                <w:b/>
                <w:bCs/>
                <w:sz w:val="20"/>
                <w:szCs w:val="20"/>
              </w:rPr>
            </w:pPr>
            <w:r w:rsidRPr="00816BCD">
              <w:rPr>
                <w:b/>
                <w:bCs/>
                <w:sz w:val="20"/>
                <w:szCs w:val="20"/>
              </w:rPr>
              <w:t>Industrial</w:t>
            </w:r>
          </w:p>
        </w:tc>
      </w:tr>
      <w:tr w:rsidR="0031068B" w14:paraId="4CAFAA0D" w14:textId="77777777" w:rsidTr="0079744F">
        <w:tc>
          <w:tcPr>
            <w:tcW w:w="2547" w:type="dxa"/>
            <w:shd w:val="clear" w:color="auto" w:fill="auto"/>
          </w:tcPr>
          <w:p w14:paraId="7F15B3A0" w14:textId="23459514" w:rsidR="0031068B" w:rsidRPr="00816BCD" w:rsidRDefault="0031068B" w:rsidP="00816BCD">
            <w:pPr>
              <w:rPr>
                <w:sz w:val="20"/>
                <w:szCs w:val="20"/>
              </w:rPr>
            </w:pPr>
            <w:r w:rsidRPr="00816BCD">
              <w:rPr>
                <w:b/>
                <w:bCs/>
                <w:sz w:val="20"/>
                <w:szCs w:val="20"/>
              </w:rPr>
              <w:t>Soil Quality Guideline for Human Health*</w:t>
            </w:r>
          </w:p>
        </w:tc>
        <w:tc>
          <w:tcPr>
            <w:tcW w:w="1984" w:type="dxa"/>
            <w:shd w:val="clear" w:color="auto" w:fill="auto"/>
          </w:tcPr>
          <w:p w14:paraId="7E990EA9" w14:textId="7DFFFE75" w:rsidR="0031068B" w:rsidRPr="00816BCD" w:rsidRDefault="0031068B" w:rsidP="00816BCD">
            <w:pPr>
              <w:jc w:val="center"/>
              <w:rPr>
                <w:b/>
                <w:bCs/>
                <w:sz w:val="20"/>
                <w:szCs w:val="20"/>
              </w:rPr>
            </w:pPr>
            <w:r w:rsidRPr="00816BCD">
              <w:rPr>
                <w:b/>
                <w:bCs/>
                <w:sz w:val="20"/>
                <w:szCs w:val="20"/>
              </w:rPr>
              <w:t>0.01 mg/kg</w:t>
            </w:r>
          </w:p>
        </w:tc>
        <w:tc>
          <w:tcPr>
            <w:tcW w:w="2268" w:type="dxa"/>
            <w:shd w:val="clear" w:color="auto" w:fill="auto"/>
          </w:tcPr>
          <w:p w14:paraId="50D46E3E" w14:textId="527FF4E1" w:rsidR="0031068B" w:rsidRPr="00816BCD" w:rsidRDefault="0031068B" w:rsidP="00816BCD">
            <w:pPr>
              <w:jc w:val="center"/>
              <w:rPr>
                <w:b/>
                <w:bCs/>
                <w:sz w:val="20"/>
                <w:szCs w:val="20"/>
              </w:rPr>
            </w:pPr>
            <w:r w:rsidRPr="00816BCD">
              <w:rPr>
                <w:b/>
                <w:bCs/>
                <w:sz w:val="20"/>
                <w:szCs w:val="20"/>
              </w:rPr>
              <w:t>0.01 mg/kg</w:t>
            </w:r>
          </w:p>
        </w:tc>
        <w:tc>
          <w:tcPr>
            <w:tcW w:w="1985" w:type="dxa"/>
            <w:shd w:val="clear" w:color="auto" w:fill="auto"/>
          </w:tcPr>
          <w:p w14:paraId="00961C51" w14:textId="37316721" w:rsidR="0031068B" w:rsidRPr="00816BCD" w:rsidRDefault="0031068B" w:rsidP="00816BCD">
            <w:pPr>
              <w:jc w:val="center"/>
              <w:rPr>
                <w:b/>
                <w:bCs/>
                <w:sz w:val="20"/>
                <w:szCs w:val="20"/>
              </w:rPr>
            </w:pPr>
            <w:r w:rsidRPr="00816BCD">
              <w:rPr>
                <w:b/>
                <w:bCs/>
                <w:sz w:val="20"/>
                <w:szCs w:val="20"/>
              </w:rPr>
              <w:t>0.01 mg/kg</w:t>
            </w:r>
          </w:p>
        </w:tc>
        <w:tc>
          <w:tcPr>
            <w:tcW w:w="1843" w:type="dxa"/>
            <w:shd w:val="clear" w:color="auto" w:fill="auto"/>
          </w:tcPr>
          <w:p w14:paraId="19C8F019" w14:textId="5DD4C276" w:rsidR="0031068B" w:rsidRPr="00816BCD" w:rsidRDefault="0031068B" w:rsidP="00816BCD">
            <w:pPr>
              <w:jc w:val="center"/>
              <w:rPr>
                <w:b/>
                <w:bCs/>
                <w:sz w:val="20"/>
                <w:szCs w:val="20"/>
              </w:rPr>
            </w:pPr>
            <w:r w:rsidRPr="00816BCD">
              <w:rPr>
                <w:b/>
                <w:bCs/>
                <w:sz w:val="20"/>
                <w:szCs w:val="20"/>
              </w:rPr>
              <w:t>0.01 mg/kg</w:t>
            </w:r>
          </w:p>
        </w:tc>
      </w:tr>
      <w:tr w:rsidR="000B3568" w14:paraId="73F4C3F0" w14:textId="77777777" w:rsidTr="000B0885">
        <w:tc>
          <w:tcPr>
            <w:tcW w:w="2547" w:type="dxa"/>
          </w:tcPr>
          <w:p w14:paraId="3238723F" w14:textId="77777777" w:rsidR="000B3568" w:rsidRPr="00816BCD" w:rsidRDefault="000B3568" w:rsidP="00816BCD">
            <w:pPr>
              <w:rPr>
                <w:b/>
                <w:bCs/>
                <w:sz w:val="20"/>
                <w:szCs w:val="20"/>
              </w:rPr>
            </w:pPr>
            <w:r w:rsidRPr="00816BCD">
              <w:rPr>
                <w:b/>
                <w:bCs/>
                <w:sz w:val="20"/>
                <w:szCs w:val="20"/>
              </w:rPr>
              <w:t>Soil Quality Guideline for Environmental Health*</w:t>
            </w:r>
          </w:p>
        </w:tc>
        <w:tc>
          <w:tcPr>
            <w:tcW w:w="1984" w:type="dxa"/>
          </w:tcPr>
          <w:p w14:paraId="3A839B53" w14:textId="77777777" w:rsidR="000B3568" w:rsidRPr="00816BCD" w:rsidRDefault="000B3568" w:rsidP="00816BCD">
            <w:pPr>
              <w:jc w:val="center"/>
              <w:rPr>
                <w:sz w:val="20"/>
                <w:szCs w:val="20"/>
              </w:rPr>
            </w:pPr>
            <w:r w:rsidRPr="00816BCD">
              <w:rPr>
                <w:sz w:val="20"/>
                <w:szCs w:val="20"/>
              </w:rPr>
              <w:t>0.01 mg/kg</w:t>
            </w:r>
          </w:p>
        </w:tc>
        <w:tc>
          <w:tcPr>
            <w:tcW w:w="2268" w:type="dxa"/>
          </w:tcPr>
          <w:p w14:paraId="65EAA115" w14:textId="77777777" w:rsidR="000B3568" w:rsidRPr="00816BCD" w:rsidRDefault="000B3568" w:rsidP="00816BCD">
            <w:pPr>
              <w:jc w:val="center"/>
              <w:rPr>
                <w:sz w:val="20"/>
                <w:szCs w:val="20"/>
              </w:rPr>
            </w:pPr>
            <w:r w:rsidRPr="00816BCD">
              <w:rPr>
                <w:sz w:val="20"/>
                <w:szCs w:val="20"/>
              </w:rPr>
              <w:t>0.01 mg/kg</w:t>
            </w:r>
          </w:p>
        </w:tc>
        <w:tc>
          <w:tcPr>
            <w:tcW w:w="1985" w:type="dxa"/>
          </w:tcPr>
          <w:p w14:paraId="75328BFA" w14:textId="77777777" w:rsidR="000B3568" w:rsidRPr="00816BCD" w:rsidRDefault="000B3568" w:rsidP="00816BCD">
            <w:pPr>
              <w:jc w:val="center"/>
              <w:rPr>
                <w:sz w:val="20"/>
                <w:szCs w:val="20"/>
              </w:rPr>
            </w:pPr>
            <w:r w:rsidRPr="00816BCD">
              <w:rPr>
                <w:sz w:val="20"/>
                <w:szCs w:val="20"/>
              </w:rPr>
              <w:t>0.2 (coarse soil)</w:t>
            </w:r>
          </w:p>
          <w:p w14:paraId="2F30DE7F" w14:textId="77777777" w:rsidR="000B3568" w:rsidRPr="00816BCD" w:rsidRDefault="000B3568" w:rsidP="00816BCD">
            <w:pPr>
              <w:jc w:val="center"/>
              <w:rPr>
                <w:sz w:val="20"/>
                <w:szCs w:val="20"/>
              </w:rPr>
            </w:pPr>
            <w:r w:rsidRPr="00816BCD">
              <w:rPr>
                <w:sz w:val="20"/>
                <w:szCs w:val="20"/>
              </w:rPr>
              <w:t>0.1 (fine soil)</w:t>
            </w:r>
          </w:p>
        </w:tc>
        <w:tc>
          <w:tcPr>
            <w:tcW w:w="1843" w:type="dxa"/>
          </w:tcPr>
          <w:p w14:paraId="00D47E8A" w14:textId="77777777" w:rsidR="000B3568" w:rsidRPr="00816BCD" w:rsidRDefault="000B3568" w:rsidP="00816BCD">
            <w:pPr>
              <w:jc w:val="center"/>
              <w:rPr>
                <w:sz w:val="20"/>
                <w:szCs w:val="20"/>
              </w:rPr>
            </w:pPr>
            <w:r w:rsidRPr="00816BCD">
              <w:rPr>
                <w:sz w:val="20"/>
                <w:szCs w:val="20"/>
              </w:rPr>
              <w:t>0.2 (coarse soil)</w:t>
            </w:r>
          </w:p>
          <w:p w14:paraId="730723C9" w14:textId="77777777" w:rsidR="000B3568" w:rsidRPr="00816BCD" w:rsidRDefault="000B3568" w:rsidP="00816BCD">
            <w:pPr>
              <w:jc w:val="center"/>
              <w:rPr>
                <w:sz w:val="20"/>
                <w:szCs w:val="20"/>
              </w:rPr>
            </w:pPr>
            <w:r w:rsidRPr="00816BCD">
              <w:rPr>
                <w:sz w:val="20"/>
                <w:szCs w:val="20"/>
              </w:rPr>
              <w:t>0.1 (fine soil)</w:t>
            </w:r>
          </w:p>
        </w:tc>
      </w:tr>
    </w:tbl>
    <w:p w14:paraId="4247C714" w14:textId="77777777" w:rsidR="000B3568" w:rsidRDefault="000B3568" w:rsidP="000B3568">
      <w:pPr>
        <w:spacing w:before="60" w:after="0"/>
        <w:rPr>
          <w:sz w:val="18"/>
          <w:szCs w:val="18"/>
        </w:rPr>
      </w:pPr>
      <w:r w:rsidRPr="00553115">
        <w:rPr>
          <w:sz w:val="18"/>
          <w:szCs w:val="18"/>
        </w:rPr>
        <w:t>*Additional details regarding pathway-specific guidelines and check values are provided within CCME (2021)</w:t>
      </w:r>
    </w:p>
    <w:p w14:paraId="6032D92C" w14:textId="091613F0" w:rsidR="000B3568" w:rsidRDefault="000B3568" w:rsidP="003E4AEB">
      <w:pPr>
        <w:spacing w:before="60" w:after="0"/>
        <w:rPr>
          <w:sz w:val="18"/>
          <w:szCs w:val="18"/>
        </w:rPr>
      </w:pPr>
      <w:r>
        <w:rPr>
          <w:sz w:val="18"/>
          <w:szCs w:val="18"/>
        </w:rPr>
        <w:t>NR: Not required, NC: not calculated – should be considered on a site-specific basis</w:t>
      </w:r>
      <w:r w:rsidR="003E4AEB">
        <w:rPr>
          <w:sz w:val="18"/>
          <w:szCs w:val="18"/>
        </w:rPr>
        <w:t xml:space="preserve">. </w:t>
      </w:r>
      <w:r>
        <w:rPr>
          <w:sz w:val="18"/>
          <w:szCs w:val="18"/>
        </w:rPr>
        <w:t xml:space="preserve">Fine soil: soil where more than 50% of the particles (by mass) are &gt; 75 </w:t>
      </w:r>
      <w:r>
        <w:rPr>
          <w:rFonts w:cstheme="minorHAnsi"/>
          <w:sz w:val="18"/>
          <w:szCs w:val="18"/>
        </w:rPr>
        <w:t>µ</w:t>
      </w:r>
      <w:r>
        <w:rPr>
          <w:sz w:val="18"/>
          <w:szCs w:val="18"/>
        </w:rPr>
        <w:t>m (mean) in diameter</w:t>
      </w:r>
      <w:r w:rsidR="003E4AEB">
        <w:rPr>
          <w:sz w:val="18"/>
          <w:szCs w:val="18"/>
        </w:rPr>
        <w:t xml:space="preserve">. Coarse soil: Soil where more than 50%, by mass, particles larger than 75 </w:t>
      </w:r>
      <w:r w:rsidR="003E4AEB">
        <w:rPr>
          <w:rFonts w:cstheme="minorHAnsi"/>
          <w:sz w:val="18"/>
          <w:szCs w:val="18"/>
        </w:rPr>
        <w:t>µ</w:t>
      </w:r>
      <w:r w:rsidR="003E4AEB">
        <w:rPr>
          <w:sz w:val="18"/>
          <w:szCs w:val="18"/>
        </w:rPr>
        <w:t>m (mean) diameter.</w:t>
      </w:r>
    </w:p>
    <w:p w14:paraId="7169F62D" w14:textId="54EE8C36" w:rsidR="003E4AEB" w:rsidRDefault="003E4AEB" w:rsidP="003E4AEB">
      <w:pPr>
        <w:spacing w:before="60" w:after="0"/>
        <w:rPr>
          <w:sz w:val="18"/>
          <w:szCs w:val="18"/>
        </w:rPr>
      </w:pPr>
    </w:p>
    <w:p w14:paraId="015E6158" w14:textId="50D305A1" w:rsidR="00DF2D8F" w:rsidRPr="00A96385" w:rsidRDefault="00DF2D8F" w:rsidP="00DF2D8F">
      <w:pPr>
        <w:rPr>
          <w:b/>
          <w:bCs/>
        </w:rPr>
      </w:pPr>
      <w:r w:rsidRPr="00A96385">
        <w:rPr>
          <w:b/>
          <w:bCs/>
        </w:rPr>
        <w:t>CCME (2021) Groundwater Quality Guidelines for the Protection of Human and Ecological Health for Various Land Uses</w:t>
      </w:r>
    </w:p>
    <w:tbl>
      <w:tblPr>
        <w:tblStyle w:val="TableGrid"/>
        <w:tblW w:w="0" w:type="auto"/>
        <w:tblLook w:val="04A0" w:firstRow="1" w:lastRow="0" w:firstColumn="1" w:lastColumn="0" w:noHBand="0" w:noVBand="1"/>
      </w:tblPr>
      <w:tblGrid>
        <w:gridCol w:w="2158"/>
        <w:gridCol w:w="2158"/>
        <w:gridCol w:w="2158"/>
        <w:gridCol w:w="2158"/>
        <w:gridCol w:w="2158"/>
      </w:tblGrid>
      <w:tr w:rsidR="00DF2D8F" w14:paraId="27F75DED" w14:textId="77777777" w:rsidTr="00A96385">
        <w:tc>
          <w:tcPr>
            <w:tcW w:w="2158" w:type="dxa"/>
            <w:shd w:val="clear" w:color="auto" w:fill="8EAADB" w:themeFill="accent1" w:themeFillTint="99"/>
          </w:tcPr>
          <w:p w14:paraId="03A6A6D0" w14:textId="77777777" w:rsidR="00DF2D8F" w:rsidRPr="00DF2D8F" w:rsidRDefault="00DF2D8F" w:rsidP="00DF2D8F">
            <w:pPr>
              <w:rPr>
                <w:sz w:val="20"/>
                <w:szCs w:val="20"/>
              </w:rPr>
            </w:pPr>
          </w:p>
        </w:tc>
        <w:tc>
          <w:tcPr>
            <w:tcW w:w="2158" w:type="dxa"/>
            <w:shd w:val="clear" w:color="auto" w:fill="8EAADB" w:themeFill="accent1" w:themeFillTint="99"/>
          </w:tcPr>
          <w:p w14:paraId="2B5A198F" w14:textId="684C36FD" w:rsidR="00DF2D8F" w:rsidRPr="00A96385" w:rsidRDefault="00DF2D8F" w:rsidP="00DF2D8F">
            <w:pPr>
              <w:jc w:val="center"/>
              <w:rPr>
                <w:b/>
                <w:bCs/>
                <w:sz w:val="20"/>
                <w:szCs w:val="20"/>
              </w:rPr>
            </w:pPr>
            <w:r w:rsidRPr="00A96385">
              <w:rPr>
                <w:b/>
                <w:bCs/>
                <w:sz w:val="20"/>
                <w:szCs w:val="20"/>
              </w:rPr>
              <w:t>Agricultural</w:t>
            </w:r>
          </w:p>
        </w:tc>
        <w:tc>
          <w:tcPr>
            <w:tcW w:w="2158" w:type="dxa"/>
            <w:shd w:val="clear" w:color="auto" w:fill="8EAADB" w:themeFill="accent1" w:themeFillTint="99"/>
          </w:tcPr>
          <w:p w14:paraId="3A934BEE" w14:textId="4EE673BB" w:rsidR="00DF2D8F" w:rsidRPr="00A96385" w:rsidRDefault="00DF2D8F" w:rsidP="00DF2D8F">
            <w:pPr>
              <w:jc w:val="center"/>
              <w:rPr>
                <w:b/>
                <w:bCs/>
                <w:sz w:val="20"/>
                <w:szCs w:val="20"/>
              </w:rPr>
            </w:pPr>
            <w:r w:rsidRPr="00A96385">
              <w:rPr>
                <w:b/>
                <w:bCs/>
                <w:sz w:val="20"/>
                <w:szCs w:val="20"/>
              </w:rPr>
              <w:t>Residential/Parkland</w:t>
            </w:r>
          </w:p>
        </w:tc>
        <w:tc>
          <w:tcPr>
            <w:tcW w:w="2158" w:type="dxa"/>
            <w:shd w:val="clear" w:color="auto" w:fill="8EAADB" w:themeFill="accent1" w:themeFillTint="99"/>
          </w:tcPr>
          <w:p w14:paraId="3FD4C027" w14:textId="79F2B561" w:rsidR="00DF2D8F" w:rsidRPr="00A96385" w:rsidRDefault="00DF2D8F" w:rsidP="00DF2D8F">
            <w:pPr>
              <w:jc w:val="center"/>
              <w:rPr>
                <w:b/>
                <w:bCs/>
                <w:sz w:val="20"/>
                <w:szCs w:val="20"/>
              </w:rPr>
            </w:pPr>
            <w:r w:rsidRPr="00A96385">
              <w:rPr>
                <w:b/>
                <w:bCs/>
                <w:sz w:val="20"/>
                <w:szCs w:val="20"/>
              </w:rPr>
              <w:t>Commercial</w:t>
            </w:r>
          </w:p>
        </w:tc>
        <w:tc>
          <w:tcPr>
            <w:tcW w:w="2158" w:type="dxa"/>
            <w:shd w:val="clear" w:color="auto" w:fill="8EAADB" w:themeFill="accent1" w:themeFillTint="99"/>
          </w:tcPr>
          <w:p w14:paraId="5FDC7813" w14:textId="6F255261" w:rsidR="00DF2D8F" w:rsidRPr="00A96385" w:rsidRDefault="00DF2D8F" w:rsidP="00DF2D8F">
            <w:pPr>
              <w:jc w:val="center"/>
              <w:rPr>
                <w:b/>
                <w:bCs/>
                <w:sz w:val="20"/>
                <w:szCs w:val="20"/>
              </w:rPr>
            </w:pPr>
            <w:r w:rsidRPr="00A96385">
              <w:rPr>
                <w:b/>
                <w:bCs/>
                <w:sz w:val="20"/>
                <w:szCs w:val="20"/>
              </w:rPr>
              <w:t>Industrial</w:t>
            </w:r>
          </w:p>
        </w:tc>
      </w:tr>
      <w:tr w:rsidR="00DF2D8F" w14:paraId="5129DC57" w14:textId="77777777" w:rsidTr="00DF2D8F">
        <w:tc>
          <w:tcPr>
            <w:tcW w:w="2158" w:type="dxa"/>
          </w:tcPr>
          <w:p w14:paraId="57DB0B96" w14:textId="0807AE18" w:rsidR="00DF2D8F" w:rsidRDefault="00DF2D8F" w:rsidP="003E4AEB">
            <w:pPr>
              <w:spacing w:before="60"/>
              <w:rPr>
                <w:sz w:val="18"/>
                <w:szCs w:val="18"/>
              </w:rPr>
            </w:pPr>
            <w:r w:rsidRPr="00816BCD">
              <w:rPr>
                <w:b/>
                <w:bCs/>
                <w:sz w:val="20"/>
                <w:szCs w:val="20"/>
              </w:rPr>
              <w:t>Groundwater Guideline for the protection of human health (GWQG</w:t>
            </w:r>
            <w:r w:rsidRPr="00816BCD">
              <w:rPr>
                <w:b/>
                <w:bCs/>
                <w:sz w:val="20"/>
                <w:szCs w:val="20"/>
                <w:vertAlign w:val="subscript"/>
              </w:rPr>
              <w:t>PW</w:t>
            </w:r>
            <w:r w:rsidRPr="00816BCD">
              <w:rPr>
                <w:b/>
                <w:bCs/>
                <w:sz w:val="20"/>
                <w:szCs w:val="20"/>
              </w:rPr>
              <w:t>)</w:t>
            </w:r>
          </w:p>
        </w:tc>
        <w:tc>
          <w:tcPr>
            <w:tcW w:w="2158" w:type="dxa"/>
          </w:tcPr>
          <w:p w14:paraId="09586611" w14:textId="2370C4AA" w:rsidR="00DF2D8F" w:rsidRDefault="00DF2D8F" w:rsidP="00DF2D8F">
            <w:pPr>
              <w:spacing w:before="60"/>
              <w:jc w:val="center"/>
              <w:rPr>
                <w:sz w:val="18"/>
                <w:szCs w:val="18"/>
              </w:rPr>
            </w:pPr>
            <w:r w:rsidRPr="00816BCD">
              <w:rPr>
                <w:sz w:val="20"/>
                <w:szCs w:val="20"/>
              </w:rPr>
              <w:t xml:space="preserve">0.0006 mg/L </w:t>
            </w:r>
            <w:r>
              <w:rPr>
                <w:sz w:val="20"/>
                <w:szCs w:val="20"/>
              </w:rPr>
              <w:br/>
            </w:r>
            <w:r w:rsidRPr="00816BCD">
              <w:rPr>
                <w:sz w:val="20"/>
                <w:szCs w:val="20"/>
              </w:rPr>
              <w:t>(fine and coarse soil)</w:t>
            </w:r>
          </w:p>
        </w:tc>
        <w:tc>
          <w:tcPr>
            <w:tcW w:w="2158" w:type="dxa"/>
          </w:tcPr>
          <w:p w14:paraId="1F505539" w14:textId="38356102" w:rsidR="00DF2D8F" w:rsidRDefault="00DF2D8F" w:rsidP="00DF2D8F">
            <w:pPr>
              <w:spacing w:before="60"/>
              <w:jc w:val="center"/>
              <w:rPr>
                <w:sz w:val="18"/>
                <w:szCs w:val="18"/>
              </w:rPr>
            </w:pPr>
            <w:r w:rsidRPr="00816BCD">
              <w:rPr>
                <w:sz w:val="20"/>
                <w:szCs w:val="20"/>
              </w:rPr>
              <w:t xml:space="preserve">0.0006 mg/L </w:t>
            </w:r>
            <w:r>
              <w:rPr>
                <w:sz w:val="20"/>
                <w:szCs w:val="20"/>
              </w:rPr>
              <w:br/>
            </w:r>
            <w:r w:rsidRPr="00816BCD">
              <w:rPr>
                <w:sz w:val="20"/>
                <w:szCs w:val="20"/>
              </w:rPr>
              <w:t>(fine and coarse soil)</w:t>
            </w:r>
          </w:p>
        </w:tc>
        <w:tc>
          <w:tcPr>
            <w:tcW w:w="2158" w:type="dxa"/>
          </w:tcPr>
          <w:p w14:paraId="67E22447" w14:textId="72D76CDB" w:rsidR="00DF2D8F" w:rsidRDefault="00DF2D8F" w:rsidP="00DF2D8F">
            <w:pPr>
              <w:spacing w:before="60"/>
              <w:jc w:val="center"/>
              <w:rPr>
                <w:sz w:val="18"/>
                <w:szCs w:val="18"/>
              </w:rPr>
            </w:pPr>
            <w:r w:rsidRPr="00816BCD">
              <w:rPr>
                <w:sz w:val="20"/>
                <w:szCs w:val="20"/>
              </w:rPr>
              <w:t>0.0006 mg/L (</w:t>
            </w:r>
            <w:r>
              <w:rPr>
                <w:sz w:val="20"/>
                <w:szCs w:val="20"/>
              </w:rPr>
              <w:br/>
            </w:r>
            <w:r w:rsidRPr="00816BCD">
              <w:rPr>
                <w:sz w:val="20"/>
                <w:szCs w:val="20"/>
              </w:rPr>
              <w:t>fine and coarse soil)</w:t>
            </w:r>
          </w:p>
        </w:tc>
        <w:tc>
          <w:tcPr>
            <w:tcW w:w="2158" w:type="dxa"/>
          </w:tcPr>
          <w:p w14:paraId="699696F3" w14:textId="5146C7EE" w:rsidR="00DF2D8F" w:rsidRDefault="00DF2D8F" w:rsidP="00DF2D8F">
            <w:pPr>
              <w:spacing w:before="60"/>
              <w:jc w:val="center"/>
              <w:rPr>
                <w:sz w:val="18"/>
                <w:szCs w:val="18"/>
              </w:rPr>
            </w:pPr>
            <w:r w:rsidRPr="00816BCD">
              <w:rPr>
                <w:sz w:val="20"/>
                <w:szCs w:val="20"/>
              </w:rPr>
              <w:t xml:space="preserve">0.0006 mg/L </w:t>
            </w:r>
            <w:r>
              <w:rPr>
                <w:sz w:val="20"/>
                <w:szCs w:val="20"/>
              </w:rPr>
              <w:br/>
            </w:r>
            <w:r w:rsidRPr="00816BCD">
              <w:rPr>
                <w:sz w:val="20"/>
                <w:szCs w:val="20"/>
              </w:rPr>
              <w:t>(fine and coarse soil)</w:t>
            </w:r>
          </w:p>
        </w:tc>
      </w:tr>
      <w:tr w:rsidR="00DF2D8F" w14:paraId="16A7A8E3" w14:textId="77777777" w:rsidTr="00DF2D8F">
        <w:tc>
          <w:tcPr>
            <w:tcW w:w="2158" w:type="dxa"/>
          </w:tcPr>
          <w:p w14:paraId="0E96F31C" w14:textId="3E271EA7" w:rsidR="00DF2D8F" w:rsidRDefault="00DF2D8F" w:rsidP="003E4AEB">
            <w:pPr>
              <w:spacing w:before="60"/>
              <w:rPr>
                <w:sz w:val="18"/>
                <w:szCs w:val="18"/>
              </w:rPr>
            </w:pPr>
            <w:r w:rsidRPr="00816BCD">
              <w:rPr>
                <w:b/>
                <w:bCs/>
                <w:sz w:val="20"/>
                <w:szCs w:val="20"/>
              </w:rPr>
              <w:t>Groundwater Quality Guideline for the Protection of Freshwater Life (Final GWQG)</w:t>
            </w:r>
            <w:r w:rsidRPr="00816BCD">
              <w:rPr>
                <w:b/>
                <w:bCs/>
                <w:sz w:val="20"/>
                <w:szCs w:val="20"/>
                <w:vertAlign w:val="superscript"/>
              </w:rPr>
              <w:t>(a)</w:t>
            </w:r>
          </w:p>
        </w:tc>
        <w:tc>
          <w:tcPr>
            <w:tcW w:w="2158" w:type="dxa"/>
          </w:tcPr>
          <w:p w14:paraId="4FF930D8" w14:textId="52142B95" w:rsidR="00DF2D8F" w:rsidRDefault="00DF2D8F" w:rsidP="00DF2D8F">
            <w:pPr>
              <w:spacing w:before="60"/>
              <w:jc w:val="center"/>
              <w:rPr>
                <w:sz w:val="18"/>
                <w:szCs w:val="18"/>
              </w:rPr>
            </w:pPr>
            <w:r w:rsidRPr="00816BCD">
              <w:rPr>
                <w:sz w:val="20"/>
                <w:szCs w:val="20"/>
              </w:rPr>
              <w:t>0.007 mg/L</w:t>
            </w:r>
          </w:p>
        </w:tc>
        <w:tc>
          <w:tcPr>
            <w:tcW w:w="2158" w:type="dxa"/>
          </w:tcPr>
          <w:p w14:paraId="25D3A6BC" w14:textId="6AD8C8D8" w:rsidR="00DF2D8F" w:rsidRDefault="00DF2D8F" w:rsidP="00DF2D8F">
            <w:pPr>
              <w:spacing w:before="60"/>
              <w:jc w:val="center"/>
              <w:rPr>
                <w:sz w:val="18"/>
                <w:szCs w:val="18"/>
              </w:rPr>
            </w:pPr>
            <w:r w:rsidRPr="00816BCD">
              <w:rPr>
                <w:sz w:val="20"/>
                <w:szCs w:val="20"/>
              </w:rPr>
              <w:t>0.007 mg/L</w:t>
            </w:r>
          </w:p>
        </w:tc>
        <w:tc>
          <w:tcPr>
            <w:tcW w:w="2158" w:type="dxa"/>
          </w:tcPr>
          <w:p w14:paraId="43B05316" w14:textId="199DFEE2" w:rsidR="00DF2D8F" w:rsidRDefault="00DF2D8F" w:rsidP="00DF2D8F">
            <w:pPr>
              <w:spacing w:before="60"/>
              <w:jc w:val="center"/>
              <w:rPr>
                <w:sz w:val="18"/>
                <w:szCs w:val="18"/>
              </w:rPr>
            </w:pPr>
            <w:r w:rsidRPr="00816BCD">
              <w:rPr>
                <w:sz w:val="20"/>
                <w:szCs w:val="20"/>
              </w:rPr>
              <w:t>0.007 mg/L</w:t>
            </w:r>
          </w:p>
        </w:tc>
        <w:tc>
          <w:tcPr>
            <w:tcW w:w="2158" w:type="dxa"/>
          </w:tcPr>
          <w:p w14:paraId="5E705632" w14:textId="5D47D3AE" w:rsidR="00DF2D8F" w:rsidRDefault="00DF2D8F" w:rsidP="00DF2D8F">
            <w:pPr>
              <w:spacing w:before="60"/>
              <w:jc w:val="center"/>
              <w:rPr>
                <w:sz w:val="18"/>
                <w:szCs w:val="18"/>
              </w:rPr>
            </w:pPr>
            <w:r w:rsidRPr="00816BCD">
              <w:rPr>
                <w:sz w:val="20"/>
                <w:szCs w:val="20"/>
              </w:rPr>
              <w:t>0.007 mg/L</w:t>
            </w:r>
          </w:p>
        </w:tc>
      </w:tr>
      <w:tr w:rsidR="00DF2D8F" w14:paraId="5EEE208E" w14:textId="77777777" w:rsidTr="00DF2D8F">
        <w:tc>
          <w:tcPr>
            <w:tcW w:w="2158" w:type="dxa"/>
          </w:tcPr>
          <w:p w14:paraId="6F03A56A" w14:textId="7D74A677" w:rsidR="00DF2D8F" w:rsidRDefault="00DF2D8F" w:rsidP="003E4AEB">
            <w:pPr>
              <w:spacing w:before="60"/>
              <w:rPr>
                <w:sz w:val="18"/>
                <w:szCs w:val="18"/>
              </w:rPr>
            </w:pPr>
            <w:r w:rsidRPr="00816BCD">
              <w:rPr>
                <w:b/>
                <w:bCs/>
                <w:sz w:val="20"/>
                <w:szCs w:val="20"/>
              </w:rPr>
              <w:t>Groundwater Contact By Soil-Dependent Organisms</w:t>
            </w:r>
          </w:p>
        </w:tc>
        <w:tc>
          <w:tcPr>
            <w:tcW w:w="2158" w:type="dxa"/>
          </w:tcPr>
          <w:p w14:paraId="79EDC2D9" w14:textId="38BF19FD" w:rsidR="00DF2D8F" w:rsidRDefault="00DF2D8F" w:rsidP="00DF2D8F">
            <w:pPr>
              <w:spacing w:before="60"/>
              <w:jc w:val="center"/>
              <w:rPr>
                <w:sz w:val="18"/>
                <w:szCs w:val="18"/>
              </w:rPr>
            </w:pPr>
            <w:r>
              <w:rPr>
                <w:sz w:val="18"/>
                <w:szCs w:val="18"/>
              </w:rPr>
              <w:t>1 mg/L</w:t>
            </w:r>
          </w:p>
        </w:tc>
        <w:tc>
          <w:tcPr>
            <w:tcW w:w="2158" w:type="dxa"/>
          </w:tcPr>
          <w:p w14:paraId="3158FC0A" w14:textId="4F8215A1" w:rsidR="00DF2D8F" w:rsidRDefault="00DF2D8F" w:rsidP="00DF2D8F">
            <w:pPr>
              <w:spacing w:before="60"/>
              <w:jc w:val="center"/>
              <w:rPr>
                <w:sz w:val="18"/>
                <w:szCs w:val="18"/>
              </w:rPr>
            </w:pPr>
            <w:r>
              <w:rPr>
                <w:sz w:val="18"/>
                <w:szCs w:val="18"/>
              </w:rPr>
              <w:t>1 mg/L</w:t>
            </w:r>
          </w:p>
        </w:tc>
        <w:tc>
          <w:tcPr>
            <w:tcW w:w="2158" w:type="dxa"/>
          </w:tcPr>
          <w:p w14:paraId="3DC9D331" w14:textId="4C84A0DF" w:rsidR="00DF2D8F" w:rsidRDefault="00DF2D8F" w:rsidP="00DF2D8F">
            <w:pPr>
              <w:spacing w:before="60"/>
              <w:jc w:val="center"/>
              <w:rPr>
                <w:sz w:val="18"/>
                <w:szCs w:val="18"/>
              </w:rPr>
            </w:pPr>
            <w:r>
              <w:rPr>
                <w:sz w:val="18"/>
                <w:szCs w:val="18"/>
              </w:rPr>
              <w:t>1 mg/L</w:t>
            </w:r>
          </w:p>
        </w:tc>
        <w:tc>
          <w:tcPr>
            <w:tcW w:w="2158" w:type="dxa"/>
          </w:tcPr>
          <w:p w14:paraId="02B7C430" w14:textId="171C6D9F" w:rsidR="00DF2D8F" w:rsidRDefault="00DF2D8F" w:rsidP="00DF2D8F">
            <w:pPr>
              <w:spacing w:before="60"/>
              <w:jc w:val="center"/>
              <w:rPr>
                <w:sz w:val="18"/>
                <w:szCs w:val="18"/>
              </w:rPr>
            </w:pPr>
            <w:r>
              <w:rPr>
                <w:sz w:val="18"/>
                <w:szCs w:val="18"/>
              </w:rPr>
              <w:t>1 mg/L</w:t>
            </w:r>
          </w:p>
        </w:tc>
      </w:tr>
      <w:tr w:rsidR="00DF2D8F" w14:paraId="427B1314" w14:textId="77777777" w:rsidTr="00DF2D8F">
        <w:tc>
          <w:tcPr>
            <w:tcW w:w="2158" w:type="dxa"/>
          </w:tcPr>
          <w:p w14:paraId="52A30D8A" w14:textId="3226D676" w:rsidR="00DF2D8F" w:rsidRDefault="00DF2D8F" w:rsidP="00DF2D8F">
            <w:pPr>
              <w:spacing w:before="60"/>
              <w:rPr>
                <w:sz w:val="18"/>
                <w:szCs w:val="18"/>
              </w:rPr>
            </w:pPr>
            <w:r w:rsidRPr="00816BCD">
              <w:rPr>
                <w:b/>
                <w:bCs/>
                <w:sz w:val="20"/>
                <w:szCs w:val="20"/>
              </w:rPr>
              <w:t>Groundwater Ingestion (Livestock Watering)</w:t>
            </w:r>
          </w:p>
        </w:tc>
        <w:tc>
          <w:tcPr>
            <w:tcW w:w="2158" w:type="dxa"/>
          </w:tcPr>
          <w:p w14:paraId="544B3FC6" w14:textId="74F8D891" w:rsidR="00DF2D8F" w:rsidRDefault="00DF2D8F" w:rsidP="00DF2D8F">
            <w:pPr>
              <w:spacing w:before="60"/>
              <w:jc w:val="center"/>
              <w:rPr>
                <w:sz w:val="18"/>
                <w:szCs w:val="18"/>
              </w:rPr>
            </w:pPr>
            <w:r w:rsidRPr="00816BCD">
              <w:rPr>
                <w:sz w:val="20"/>
                <w:szCs w:val="20"/>
              </w:rPr>
              <w:t>0.3 mg/L</w:t>
            </w:r>
          </w:p>
        </w:tc>
        <w:tc>
          <w:tcPr>
            <w:tcW w:w="2158" w:type="dxa"/>
          </w:tcPr>
          <w:p w14:paraId="65DA6432" w14:textId="09993056" w:rsidR="00DF2D8F" w:rsidRDefault="00DF2D8F" w:rsidP="00DF2D8F">
            <w:pPr>
              <w:spacing w:before="60"/>
              <w:jc w:val="center"/>
              <w:rPr>
                <w:sz w:val="18"/>
                <w:szCs w:val="18"/>
              </w:rPr>
            </w:pPr>
            <w:r w:rsidRPr="00816BCD">
              <w:rPr>
                <w:sz w:val="20"/>
                <w:szCs w:val="20"/>
              </w:rPr>
              <w:t>NR</w:t>
            </w:r>
          </w:p>
        </w:tc>
        <w:tc>
          <w:tcPr>
            <w:tcW w:w="2158" w:type="dxa"/>
          </w:tcPr>
          <w:p w14:paraId="0642C722" w14:textId="54DFF7E2" w:rsidR="00DF2D8F" w:rsidRDefault="00DF2D8F" w:rsidP="00DF2D8F">
            <w:pPr>
              <w:spacing w:before="60"/>
              <w:jc w:val="center"/>
              <w:rPr>
                <w:sz w:val="18"/>
                <w:szCs w:val="18"/>
              </w:rPr>
            </w:pPr>
            <w:r w:rsidRPr="00816BCD">
              <w:rPr>
                <w:sz w:val="20"/>
                <w:szCs w:val="20"/>
              </w:rPr>
              <w:t>NR</w:t>
            </w:r>
          </w:p>
        </w:tc>
        <w:tc>
          <w:tcPr>
            <w:tcW w:w="2158" w:type="dxa"/>
          </w:tcPr>
          <w:p w14:paraId="4ADE0538" w14:textId="2F356C20" w:rsidR="00DF2D8F" w:rsidRDefault="00DF2D8F" w:rsidP="00DF2D8F">
            <w:pPr>
              <w:spacing w:before="60"/>
              <w:jc w:val="center"/>
              <w:rPr>
                <w:sz w:val="18"/>
                <w:szCs w:val="18"/>
              </w:rPr>
            </w:pPr>
            <w:r w:rsidRPr="00816BCD">
              <w:rPr>
                <w:sz w:val="20"/>
                <w:szCs w:val="20"/>
              </w:rPr>
              <w:t>NR</w:t>
            </w:r>
          </w:p>
        </w:tc>
      </w:tr>
      <w:tr w:rsidR="00DF2D8F" w14:paraId="2902D62F" w14:textId="77777777" w:rsidTr="00DF2D8F">
        <w:tc>
          <w:tcPr>
            <w:tcW w:w="2158" w:type="dxa"/>
          </w:tcPr>
          <w:p w14:paraId="7E878916" w14:textId="05555233" w:rsidR="00DF2D8F" w:rsidRPr="00816BCD" w:rsidRDefault="00DF2D8F" w:rsidP="00DF2D8F">
            <w:pPr>
              <w:spacing w:before="60"/>
              <w:rPr>
                <w:b/>
                <w:bCs/>
                <w:sz w:val="20"/>
                <w:szCs w:val="20"/>
              </w:rPr>
            </w:pPr>
            <w:r w:rsidRPr="00816BCD">
              <w:rPr>
                <w:b/>
                <w:bCs/>
                <w:sz w:val="20"/>
                <w:szCs w:val="20"/>
              </w:rPr>
              <w:t>Groundwater Protection of Irrigation Water</w:t>
            </w:r>
          </w:p>
        </w:tc>
        <w:tc>
          <w:tcPr>
            <w:tcW w:w="2158" w:type="dxa"/>
          </w:tcPr>
          <w:p w14:paraId="30A3020F" w14:textId="2F81C4FE" w:rsidR="00DF2D8F" w:rsidRDefault="00DF2D8F" w:rsidP="00DF2D8F">
            <w:pPr>
              <w:spacing w:before="60"/>
              <w:jc w:val="center"/>
              <w:rPr>
                <w:sz w:val="18"/>
                <w:szCs w:val="18"/>
              </w:rPr>
            </w:pPr>
            <w:r w:rsidRPr="00816BCD">
              <w:rPr>
                <w:sz w:val="20"/>
                <w:szCs w:val="20"/>
              </w:rPr>
              <w:t>NC</w:t>
            </w:r>
          </w:p>
        </w:tc>
        <w:tc>
          <w:tcPr>
            <w:tcW w:w="2158" w:type="dxa"/>
          </w:tcPr>
          <w:p w14:paraId="7892D708" w14:textId="206F150C" w:rsidR="00DF2D8F" w:rsidRDefault="00DF2D8F" w:rsidP="00DF2D8F">
            <w:pPr>
              <w:spacing w:before="60"/>
              <w:jc w:val="center"/>
              <w:rPr>
                <w:sz w:val="18"/>
                <w:szCs w:val="18"/>
              </w:rPr>
            </w:pPr>
            <w:r w:rsidRPr="00816BCD">
              <w:rPr>
                <w:sz w:val="20"/>
                <w:szCs w:val="20"/>
              </w:rPr>
              <w:t>NR</w:t>
            </w:r>
          </w:p>
        </w:tc>
        <w:tc>
          <w:tcPr>
            <w:tcW w:w="2158" w:type="dxa"/>
          </w:tcPr>
          <w:p w14:paraId="34504917" w14:textId="60873FDB" w:rsidR="00DF2D8F" w:rsidRDefault="00DF2D8F" w:rsidP="00DF2D8F">
            <w:pPr>
              <w:spacing w:before="60"/>
              <w:jc w:val="center"/>
              <w:rPr>
                <w:sz w:val="18"/>
                <w:szCs w:val="18"/>
              </w:rPr>
            </w:pPr>
            <w:r w:rsidRPr="00816BCD">
              <w:rPr>
                <w:sz w:val="20"/>
                <w:szCs w:val="20"/>
              </w:rPr>
              <w:t>NR</w:t>
            </w:r>
          </w:p>
        </w:tc>
        <w:tc>
          <w:tcPr>
            <w:tcW w:w="2158" w:type="dxa"/>
          </w:tcPr>
          <w:p w14:paraId="0710C283" w14:textId="3FA98DE0" w:rsidR="00DF2D8F" w:rsidRDefault="00DF2D8F" w:rsidP="00DF2D8F">
            <w:pPr>
              <w:spacing w:before="60"/>
              <w:jc w:val="center"/>
              <w:rPr>
                <w:sz w:val="18"/>
                <w:szCs w:val="18"/>
              </w:rPr>
            </w:pPr>
            <w:r w:rsidRPr="00816BCD">
              <w:rPr>
                <w:sz w:val="20"/>
                <w:szCs w:val="20"/>
              </w:rPr>
              <w:t>NR</w:t>
            </w:r>
          </w:p>
        </w:tc>
      </w:tr>
    </w:tbl>
    <w:p w14:paraId="1EEFAFC6" w14:textId="77777777" w:rsidR="00DF2D8F" w:rsidRDefault="00DF2D8F" w:rsidP="00DF2D8F">
      <w:pPr>
        <w:spacing w:before="60" w:after="0"/>
        <w:rPr>
          <w:sz w:val="18"/>
          <w:szCs w:val="18"/>
        </w:rPr>
      </w:pPr>
      <w:r w:rsidRPr="000B0885">
        <w:rPr>
          <w:sz w:val="18"/>
          <w:szCs w:val="18"/>
          <w:vertAlign w:val="superscript"/>
        </w:rPr>
        <w:t>(a)</w:t>
      </w:r>
      <w:r>
        <w:rPr>
          <w:sz w:val="18"/>
          <w:szCs w:val="18"/>
        </w:rPr>
        <w:t xml:space="preserve"> GWQG: Groundwater quality guideline. The final GWQC is the most conservative value of the non-human health related values, in this case, the freshwater aquatic life value. </w:t>
      </w:r>
    </w:p>
    <w:p w14:paraId="6C36FD7E" w14:textId="77777777" w:rsidR="00DF2D8F" w:rsidRDefault="00DF2D8F" w:rsidP="00DF2D8F">
      <w:pPr>
        <w:spacing w:before="60" w:after="0"/>
        <w:rPr>
          <w:sz w:val="18"/>
          <w:szCs w:val="18"/>
        </w:rPr>
      </w:pPr>
      <w:r w:rsidRPr="003E4AEB">
        <w:rPr>
          <w:sz w:val="18"/>
          <w:szCs w:val="18"/>
          <w:vertAlign w:val="superscript"/>
        </w:rPr>
        <w:t>(b)</w:t>
      </w:r>
      <w:r>
        <w:rPr>
          <w:sz w:val="18"/>
          <w:szCs w:val="18"/>
        </w:rPr>
        <w:t xml:space="preserve"> GWQG</w:t>
      </w:r>
      <w:r w:rsidRPr="003E4AEB">
        <w:rPr>
          <w:sz w:val="18"/>
          <w:szCs w:val="18"/>
          <w:vertAlign w:val="subscript"/>
        </w:rPr>
        <w:t>PW</w:t>
      </w:r>
      <w:r>
        <w:rPr>
          <w:sz w:val="18"/>
          <w:szCs w:val="18"/>
        </w:rPr>
        <w:t xml:space="preserve">: The Groundwater Quality Guideline for the Protection of Potable Water is adopted directly from the Canadian Drinking Water Quality Guidelines. The drinking water guideline for PFOS of 0.0006 mg/L (Health Canada 2018) should be used for the evaluation of potable groundwater consumption. </w:t>
      </w:r>
    </w:p>
    <w:p w14:paraId="6992B6BC" w14:textId="77777777" w:rsidR="00DF2D8F" w:rsidRDefault="00DF2D8F" w:rsidP="003E4AEB">
      <w:pPr>
        <w:spacing w:before="60" w:after="0"/>
        <w:rPr>
          <w:sz w:val="18"/>
          <w:szCs w:val="18"/>
        </w:rPr>
      </w:pPr>
    </w:p>
    <w:p w14:paraId="02BBE14A" w14:textId="1B3A0AD7" w:rsidR="00543A5F" w:rsidRDefault="008154E7">
      <w:r>
        <w:t>PFOS and other per- and poly-fluoroalkyl substances (PFAS</w:t>
      </w:r>
      <w:r w:rsidR="00543A5F">
        <w:t>) have been (and some PFAS currently are still) used in various manufacturing processes and consumer products.  The use of PFAS within aqueous film forming foams (AFFF) that are used at airports, military bases and by firefighting personnel at municipal and industrial organizations also include PFAS.  As a result, PFAS may be present</w:t>
      </w:r>
      <w:r w:rsidR="003C1B90">
        <w:t xml:space="preserve"> </w:t>
      </w:r>
      <w:r w:rsidR="00543A5F">
        <w:t xml:space="preserve">in the vicinity of </w:t>
      </w:r>
      <w:r w:rsidR="00E8727A">
        <w:t xml:space="preserve">certain </w:t>
      </w:r>
      <w:r w:rsidR="00543A5F">
        <w:t xml:space="preserve">industrial sites, former and current airport and military sites, </w:t>
      </w:r>
      <w:r w:rsidR="00E8727A">
        <w:t xml:space="preserve">landfills, </w:t>
      </w:r>
      <w:r w:rsidR="0046161E">
        <w:t xml:space="preserve">wastewater and associated biosolids, </w:t>
      </w:r>
      <w:r w:rsidR="00543A5F">
        <w:t>and may co-occur with petroleum hydrocarbon or glycol contamination</w:t>
      </w:r>
      <w:r w:rsidR="00E8727A">
        <w:t>.</w:t>
      </w:r>
      <w:r w:rsidR="00543A5F">
        <w:t xml:space="preserve"> </w:t>
      </w:r>
    </w:p>
    <w:p w14:paraId="7B44D202" w14:textId="3938278D" w:rsidR="00BB7466" w:rsidRDefault="00BB7466" w:rsidP="00B15339">
      <w:pPr>
        <w:spacing w:after="0"/>
      </w:pPr>
      <w:r>
        <w:t>As PFOS is often detected in soil and groundwater with perfluorooctanoic acid (PFOA), the CCME (2021) guidance note</w:t>
      </w:r>
      <w:r w:rsidR="001E16DA">
        <w:t>s</w:t>
      </w:r>
      <w:r>
        <w:t xml:space="preserve"> that the risks of the two compounds should </w:t>
      </w:r>
      <w:r w:rsidR="001A59F5">
        <w:t xml:space="preserve">be </w:t>
      </w:r>
      <w:r>
        <w:t>considered to be additive</w:t>
      </w:r>
      <w:r w:rsidR="001E16DA">
        <w:t xml:space="preserve"> when detected in the same media (soil or groundwater)</w:t>
      </w:r>
      <w:r>
        <w:t xml:space="preserve">.  </w:t>
      </w:r>
      <w:r w:rsidR="001E16DA">
        <w:t>To estimate the additivity</w:t>
      </w:r>
      <w:r>
        <w:t xml:space="preserve">, CCME suggests the following approach: </w:t>
      </w:r>
    </w:p>
    <w:p w14:paraId="3A523054" w14:textId="66C4FF61" w:rsidR="00B15339" w:rsidRDefault="00B15339">
      <w:bookmarkStart w:id="0" w:name="_Hlk85095241"/>
      <w:r w:rsidRPr="00B15339">
        <w:rPr>
          <w:noProof/>
        </w:rPr>
        <w:drawing>
          <wp:inline distT="0" distB="0" distL="0" distR="0" wp14:anchorId="01D82544" wp14:editId="1E7D8F41">
            <wp:extent cx="6772275" cy="7512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76557" cy="751696"/>
                    </a:xfrm>
                    <a:prstGeom prst="rect">
                      <a:avLst/>
                    </a:prstGeom>
                    <a:noFill/>
                    <a:ln>
                      <a:noFill/>
                    </a:ln>
                  </pic:spPr>
                </pic:pic>
              </a:graphicData>
            </a:graphic>
          </wp:inline>
        </w:drawing>
      </w:r>
    </w:p>
    <w:bookmarkEnd w:id="0"/>
    <w:p w14:paraId="031CAE9D" w14:textId="0A8B65D8" w:rsidR="00BB7466" w:rsidRPr="00BB7466" w:rsidRDefault="00BB7466">
      <w:r>
        <w:t xml:space="preserve">The CCME (2021) notes that at the time of publication no soil quality or groundwater quality guidelines have been developed by the organization for PFOA.  </w:t>
      </w:r>
      <w:r w:rsidR="001A59F5">
        <w:t>I</w:t>
      </w:r>
      <w:r>
        <w:t>t is recommended that other applicable values for PFOA available from local jurisdictions or other agencies (e.g.</w:t>
      </w:r>
      <w:r w:rsidR="001E16DA">
        <w:t>,</w:t>
      </w:r>
      <w:r>
        <w:t xml:space="preserve"> Health Canada, Environment and Climate Change Canada or </w:t>
      </w:r>
      <w:r w:rsidR="001E16DA">
        <w:t>a provincial/territorial</w:t>
      </w:r>
      <w:r w:rsidR="001A59F5">
        <w:t xml:space="preserve"> organization</w:t>
      </w:r>
      <w:r>
        <w:t>) be used in the estimation of additivity</w:t>
      </w:r>
      <w:r w:rsidR="001E16DA">
        <w:t xml:space="preserve"> for the time being.  It is emphasized that </w:t>
      </w:r>
      <w:r>
        <w:t>this additivity assumption is only applicable to PFOS and PFOA</w:t>
      </w:r>
      <w:r w:rsidR="001805C2">
        <w:t>,</w:t>
      </w:r>
      <w:r>
        <w:t xml:space="preserve"> and not to other PFAS compounds. </w:t>
      </w:r>
      <w:r w:rsidR="003A2FAB">
        <w:t xml:space="preserve"> </w:t>
      </w:r>
    </w:p>
    <w:p w14:paraId="6B89091C" w14:textId="74F74EFF" w:rsidR="001E25CA" w:rsidRDefault="003A2FAB">
      <w:r>
        <w:t>Health Canada has derived Drinking Water Quality Guidelines for both PFOS and PFOA (Health Canada 2019)</w:t>
      </w:r>
      <w:r w:rsidR="00575C98">
        <w:t>.</w:t>
      </w:r>
      <w:r w:rsidR="001A59F5">
        <w:t xml:space="preserve"> </w:t>
      </w:r>
      <w:r w:rsidR="00575C98">
        <w:t>Environment and Climate Change Canada finalized Federal Environmental Quality Guidelines for PFOS in 2018 for surface water, wildlife diet, fish tissue and bird eggs</w:t>
      </w:r>
      <w:r w:rsidR="003C1B90">
        <w:t xml:space="preserve"> (ECCC 2018)</w:t>
      </w:r>
      <w:r w:rsidR="00575C98">
        <w:t>.  In addition to these formal guidance values, Health Canada has also developed screening values for certain PFAS compounds (other than PFOA and PFOS) for soils and drinking water</w:t>
      </w:r>
      <w:r w:rsidR="00980F98">
        <w:t xml:space="preserve">. </w:t>
      </w:r>
    </w:p>
    <w:p w14:paraId="483113AF" w14:textId="4CF4B830" w:rsidR="000B3568" w:rsidRDefault="000B3568" w:rsidP="000B3568">
      <w:r>
        <w:t xml:space="preserve">The </w:t>
      </w:r>
      <w:r w:rsidR="002447E5">
        <w:t xml:space="preserve">latest </w:t>
      </w:r>
      <w:r>
        <w:t>CCME document (CCME 2021) is intended to provide generic guidance for use at contaminated sites in Canada relating to PFOS, and ha</w:t>
      </w:r>
      <w:r w:rsidR="002447E5">
        <w:t>s</w:t>
      </w:r>
      <w:r>
        <w:t xml:space="preserve"> been developed based on the CCME (2006) </w:t>
      </w:r>
      <w:r>
        <w:rPr>
          <w:i/>
          <w:iCs/>
        </w:rPr>
        <w:t xml:space="preserve">Protocol for the Derivation of Environmental and Human Health Soil Quality Guidelines.  </w:t>
      </w:r>
      <w:r>
        <w:t xml:space="preserve">These values set an important precedent for  </w:t>
      </w:r>
      <w:r w:rsidR="002447E5">
        <w:t>assessment and management of</w:t>
      </w:r>
      <w:r>
        <w:t xml:space="preserve"> contaminated sites</w:t>
      </w:r>
      <w:r w:rsidR="002447E5">
        <w:t xml:space="preserve"> in Canada</w:t>
      </w:r>
      <w:r>
        <w:t>.  In light of the potential presence of PFAS in soil and groundwater at various contaminated sites in Canada and in the absence of enforceable PFAS environmental criteria in most provinces and territories,</w:t>
      </w:r>
      <w:r w:rsidDel="00E8727A">
        <w:t xml:space="preserve"> </w:t>
      </w:r>
      <w:r>
        <w:t xml:space="preserve">contaminated site liability in relation to PFAS is an emerging area in Canada.  In the United States, several enforcement actions have been initiated in relation to PFAS contamination at the federal-and state-levels. </w:t>
      </w:r>
    </w:p>
    <w:p w14:paraId="6DEDD3EC" w14:textId="6DF41154" w:rsidR="00575C98" w:rsidRDefault="002447E5">
      <w:r>
        <w:t xml:space="preserve">For more information, please contact us at: </w:t>
      </w:r>
      <w:r w:rsidR="00575C98">
        <w:t xml:space="preserve"> </w:t>
      </w:r>
    </w:p>
    <w:p w14:paraId="4749A6A5" w14:textId="143ED5F5" w:rsidR="00C25924" w:rsidRDefault="00C25924">
      <w:r>
        <w:rPr>
          <w:noProof/>
        </w:rPr>
        <w:drawing>
          <wp:inline distT="0" distB="0" distL="0" distR="0" wp14:anchorId="49A2DF1C" wp14:editId="375D9302">
            <wp:extent cx="1628775" cy="841383"/>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36367" cy="845305"/>
                    </a:xfrm>
                    <a:prstGeom prst="rect">
                      <a:avLst/>
                    </a:prstGeom>
                  </pic:spPr>
                </pic:pic>
              </a:graphicData>
            </a:graphic>
          </wp:inline>
        </w:drawing>
      </w:r>
    </w:p>
    <w:p w14:paraId="0EF75C3B" w14:textId="708B5F1A" w:rsidR="00C25924" w:rsidRDefault="00C25924">
      <w:r>
        <w:t>PFAS@intrinsik.com</w:t>
      </w:r>
    </w:p>
    <w:p w14:paraId="6C12E032" w14:textId="3F384D23" w:rsidR="00C25924" w:rsidRDefault="00C25924" w:rsidP="00C25924">
      <w:pPr>
        <w:jc w:val="both"/>
      </w:pPr>
      <w:r>
        <w:t>1-403-237-0275 (Calgary)</w:t>
      </w:r>
      <w:r>
        <w:rPr>
          <w:noProof/>
        </w:rPr>
        <w:t xml:space="preserve"> </w:t>
      </w:r>
    </w:p>
    <w:p w14:paraId="638F6A0B" w14:textId="4A67E588" w:rsidR="00C25924" w:rsidRDefault="00C25924">
      <w:r>
        <w:t>1-905-364-7800 (Mississauga)</w:t>
      </w:r>
    </w:p>
    <w:p w14:paraId="1C8C94D9" w14:textId="77777777" w:rsidR="00C25924" w:rsidRDefault="00C25924"/>
    <w:p w14:paraId="7CF5B704" w14:textId="040355C7" w:rsidR="001E25CA" w:rsidRPr="00BB7466" w:rsidRDefault="001E25CA">
      <w:pPr>
        <w:rPr>
          <w:b/>
          <w:bCs/>
        </w:rPr>
      </w:pPr>
      <w:r w:rsidRPr="00BB7466">
        <w:rPr>
          <w:b/>
          <w:bCs/>
        </w:rPr>
        <w:t>Resources</w:t>
      </w:r>
    </w:p>
    <w:p w14:paraId="0EFE6E1D" w14:textId="52DA9F29" w:rsidR="001E25CA" w:rsidRDefault="001E25CA">
      <w:r>
        <w:t xml:space="preserve">CCME (Canadian Council for Ministers of the Environment). 2021. </w:t>
      </w:r>
      <w:r w:rsidR="00B5179C">
        <w:t xml:space="preserve">Scientific Criteria Document for the Development of the Canadian Soil and Groundwater Quality Guidelines for the Protection of Environmental and Human Health. </w:t>
      </w:r>
      <w:proofErr w:type="spellStart"/>
      <w:r w:rsidR="00B5179C">
        <w:t>Perfluorooctane</w:t>
      </w:r>
      <w:proofErr w:type="spellEnd"/>
      <w:r w:rsidR="00B5179C">
        <w:t xml:space="preserve"> Sulfonate (PFOS). PN 1625. ISBN 978-1-77202-075-5. </w:t>
      </w:r>
      <w:r w:rsidR="001805C2">
        <w:t xml:space="preserve">Available at: </w:t>
      </w:r>
      <w:r w:rsidR="001805C2" w:rsidRPr="001805C2">
        <w:rPr>
          <w:rStyle w:val="Hyperlink"/>
        </w:rPr>
        <w:t>https://ccme.ca/en/res/pfossoilandgroundwaterqualityguidelinesscden.pdf</w:t>
      </w:r>
    </w:p>
    <w:p w14:paraId="37276BF5" w14:textId="36CBC819" w:rsidR="00980F98" w:rsidRDefault="001805C2">
      <w:pPr>
        <w:rPr>
          <w:rStyle w:val="Hyperlink"/>
        </w:rPr>
      </w:pPr>
      <w:r>
        <w:t xml:space="preserve">ECCC (Environment and Climate Change Canada). 2018. </w:t>
      </w:r>
      <w:r w:rsidRPr="001805C2">
        <w:rPr>
          <w:i/>
          <w:iCs/>
        </w:rPr>
        <w:t>Canadian Environmental Protection Act 1999</w:t>
      </w:r>
      <w:r>
        <w:rPr>
          <w:i/>
          <w:iCs/>
        </w:rPr>
        <w:t xml:space="preserve">. </w:t>
      </w:r>
      <w:proofErr w:type="spellStart"/>
      <w:r>
        <w:t>Pefluorooctane</w:t>
      </w:r>
      <w:proofErr w:type="spellEnd"/>
      <w:r>
        <w:t xml:space="preserve"> Sulfonate (PFOS). May 2018. Available at:</w:t>
      </w:r>
      <w:r w:rsidRPr="001805C2">
        <w:rPr>
          <w:rStyle w:val="Hyperlink"/>
        </w:rPr>
        <w:t xml:space="preserve"> </w:t>
      </w:r>
      <w:hyperlink r:id="rId7" w:history="1">
        <w:r w:rsidR="005B4D0A" w:rsidRPr="00D80043">
          <w:rPr>
            <w:rStyle w:val="Hyperlink"/>
          </w:rPr>
          <w:t>https://www.canada.ca/content/dam/eccc/documents/pdf/pded/feqg-pfos/20180620-PFOS-EN.pdf</w:t>
        </w:r>
      </w:hyperlink>
    </w:p>
    <w:p w14:paraId="656FB4C3" w14:textId="36851614" w:rsidR="005B4D0A" w:rsidRPr="001805C2" w:rsidRDefault="005B4D0A">
      <w:r w:rsidRPr="00F43D07">
        <w:t xml:space="preserve">Health Canada. 2018. Federal Contaminated Sites Action Plan (FCSAP). Interim Advice to Federal Custodian Departments for the Management of Federal Contaminated Sites Containing </w:t>
      </w:r>
      <w:proofErr w:type="spellStart"/>
      <w:r w:rsidRPr="00F43D07">
        <w:t>Perfluorooctane</w:t>
      </w:r>
      <w:proofErr w:type="spellEnd"/>
      <w:r w:rsidRPr="00F43D07">
        <w:t xml:space="preserve"> Sulfonate (PFOS) and other Per- and Polyfluoroalkyl Substances (PFAS). Version 1.4.1. April 2018. Available at:</w:t>
      </w:r>
      <w:r>
        <w:rPr>
          <w:rStyle w:val="Hyperlink"/>
        </w:rPr>
        <w:t xml:space="preserve"> </w:t>
      </w:r>
      <w:r w:rsidRPr="005B4D0A">
        <w:rPr>
          <w:rStyle w:val="Hyperlink"/>
        </w:rPr>
        <w:t>https://buyandsell.gc.ca/cds/public/2020/06/19/078c8ba2514855f596fc7d49e9ea8976/attachment_008.pdf</w:t>
      </w:r>
    </w:p>
    <w:p w14:paraId="132D5267" w14:textId="5BDB3B31" w:rsidR="00980F98" w:rsidRDefault="00980F98">
      <w:r w:rsidRPr="00980F98">
        <w:t xml:space="preserve">Health Canada. 2019. </w:t>
      </w:r>
      <w:r>
        <w:t xml:space="preserve"> </w:t>
      </w:r>
      <w:r w:rsidR="00B5179C">
        <w:t xml:space="preserve">Water Talk – </w:t>
      </w:r>
      <w:proofErr w:type="spellStart"/>
      <w:r w:rsidR="00B5179C">
        <w:t>Perfluoroalkylated</w:t>
      </w:r>
      <w:proofErr w:type="spellEnd"/>
      <w:r w:rsidR="00B5179C">
        <w:t xml:space="preserve"> Substances in Drinking Water. April 2019. Available at: </w:t>
      </w:r>
      <w:hyperlink r:id="rId8" w:history="1">
        <w:r w:rsidR="001805C2" w:rsidRPr="0093719D">
          <w:rPr>
            <w:rStyle w:val="Hyperlink"/>
          </w:rPr>
          <w:t>https://www.canada.ca/en/services/health/publications/healthy-living/water-talk-drinking-water-screening-values-perfluoroalkylated-substances.html</w:t>
        </w:r>
      </w:hyperlink>
    </w:p>
    <w:p w14:paraId="72B8F67D" w14:textId="55038564" w:rsidR="001805C2" w:rsidRDefault="001805C2">
      <w:pPr>
        <w:rPr>
          <w:rStyle w:val="Hyperlink"/>
        </w:rPr>
      </w:pPr>
      <w:r>
        <w:t xml:space="preserve">Health Canada. 2019. Updates to Health Canada Soil Screening Values for </w:t>
      </w:r>
      <w:proofErr w:type="spellStart"/>
      <w:r>
        <w:t>Perfluoroalkylated</w:t>
      </w:r>
      <w:proofErr w:type="spellEnd"/>
      <w:r>
        <w:t xml:space="preserve"> Substances (PFAS). May 2019. Available at: </w:t>
      </w:r>
      <w:hyperlink r:id="rId9" w:history="1">
        <w:r w:rsidR="001A415A" w:rsidRPr="00D80043">
          <w:rPr>
            <w:rStyle w:val="Hyperlink"/>
          </w:rPr>
          <w:t>https://buyandsell.gc.ca/cds/public/20</w:t>
        </w:r>
      </w:hyperlink>
      <w:r w:rsidRPr="001805C2">
        <w:rPr>
          <w:rStyle w:val="Hyperlink"/>
        </w:rPr>
        <w:t>20/06/19/1e18568783a9ee9bddc91262c6d7679a/attachment_007.pdf</w:t>
      </w:r>
    </w:p>
    <w:p w14:paraId="5F229ABB" w14:textId="2C5C82B0" w:rsidR="00180A1F" w:rsidRDefault="00180A1F">
      <w:pPr>
        <w:rPr>
          <w:rStyle w:val="Hyperlink"/>
        </w:rPr>
      </w:pPr>
      <w:r w:rsidRPr="00F43D07">
        <w:t>ITRC (Interstate Technical Regulatory Council). PFAS Portal. Available at:</w:t>
      </w:r>
      <w:r>
        <w:rPr>
          <w:rStyle w:val="Hyperlink"/>
        </w:rPr>
        <w:t xml:space="preserve"> </w:t>
      </w:r>
      <w:r w:rsidRPr="00180A1F">
        <w:rPr>
          <w:rStyle w:val="Hyperlink"/>
        </w:rPr>
        <w:t>https://pfas-1.itrcweb.org/</w:t>
      </w:r>
    </w:p>
    <w:p w14:paraId="454BE6E4" w14:textId="11890EA2" w:rsidR="005B4D0A" w:rsidRDefault="005B4D0A">
      <w:pPr>
        <w:rPr>
          <w:rStyle w:val="Hyperlink"/>
        </w:rPr>
      </w:pPr>
      <w:r w:rsidRPr="00F43D07">
        <w:t>US EPA (United States Environmental Protection Agency). PFOA, PFOS and Other PFAS – EPA Actions to Address PFAS. Available at:</w:t>
      </w:r>
      <w:r>
        <w:rPr>
          <w:rStyle w:val="Hyperlink"/>
        </w:rPr>
        <w:t xml:space="preserve"> </w:t>
      </w:r>
      <w:hyperlink r:id="rId10" w:history="1">
        <w:r w:rsidR="00180A1F" w:rsidRPr="00D80043">
          <w:rPr>
            <w:rStyle w:val="Hyperlink"/>
          </w:rPr>
          <w:t>https://www.epa.gov/pfas/epa-actions-address-pfas</w:t>
        </w:r>
      </w:hyperlink>
    </w:p>
    <w:p w14:paraId="64C81827" w14:textId="5FEC99EE" w:rsidR="00180A1F" w:rsidRPr="00980F98" w:rsidRDefault="00180A1F">
      <w:r w:rsidRPr="00F43D07">
        <w:t xml:space="preserve">US EPA (United States Environmental Protection Agency). 2020. PFAS Action Plan – Program Update. February 2020.  </w:t>
      </w:r>
      <w:r w:rsidRPr="00E56B10">
        <w:rPr>
          <w:rStyle w:val="Hyperlink"/>
        </w:rPr>
        <w:t>Available</w:t>
      </w:r>
      <w:r>
        <w:rPr>
          <w:rStyle w:val="Hyperlink"/>
        </w:rPr>
        <w:t xml:space="preserve"> at: </w:t>
      </w:r>
      <w:r w:rsidRPr="00180A1F">
        <w:rPr>
          <w:rStyle w:val="Hyperlink"/>
        </w:rPr>
        <w:t>https://www.epa.gov/sites/default/files/2020-01/documents/pfas_action_plan_feb2020.pdf</w:t>
      </w:r>
    </w:p>
    <w:sectPr w:rsidR="00180A1F" w:rsidRPr="00980F98" w:rsidSect="001E16D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E6A"/>
    <w:rsid w:val="000578A0"/>
    <w:rsid w:val="000932D0"/>
    <w:rsid w:val="000B07A7"/>
    <w:rsid w:val="000B3568"/>
    <w:rsid w:val="000C7010"/>
    <w:rsid w:val="001805C2"/>
    <w:rsid w:val="00180A1F"/>
    <w:rsid w:val="001A415A"/>
    <w:rsid w:val="001A59F5"/>
    <w:rsid w:val="001E16DA"/>
    <w:rsid w:val="001E25CA"/>
    <w:rsid w:val="002447E5"/>
    <w:rsid w:val="0031068B"/>
    <w:rsid w:val="003A2FAB"/>
    <w:rsid w:val="003C1B90"/>
    <w:rsid w:val="003E0A7F"/>
    <w:rsid w:val="003E4AEB"/>
    <w:rsid w:val="003F09CD"/>
    <w:rsid w:val="0040169D"/>
    <w:rsid w:val="004373D8"/>
    <w:rsid w:val="0046161E"/>
    <w:rsid w:val="00473298"/>
    <w:rsid w:val="00500580"/>
    <w:rsid w:val="00543A5F"/>
    <w:rsid w:val="00553115"/>
    <w:rsid w:val="00575C98"/>
    <w:rsid w:val="005B4D0A"/>
    <w:rsid w:val="006378BF"/>
    <w:rsid w:val="00783764"/>
    <w:rsid w:val="0079744F"/>
    <w:rsid w:val="008154E7"/>
    <w:rsid w:val="00816BCD"/>
    <w:rsid w:val="008B57E4"/>
    <w:rsid w:val="00980F98"/>
    <w:rsid w:val="00990AE4"/>
    <w:rsid w:val="00A30E6A"/>
    <w:rsid w:val="00A96385"/>
    <w:rsid w:val="00AA5E13"/>
    <w:rsid w:val="00B15339"/>
    <w:rsid w:val="00B5179C"/>
    <w:rsid w:val="00B742F2"/>
    <w:rsid w:val="00B93EB7"/>
    <w:rsid w:val="00BB7466"/>
    <w:rsid w:val="00C25924"/>
    <w:rsid w:val="00C30349"/>
    <w:rsid w:val="00CD1C9E"/>
    <w:rsid w:val="00CE5627"/>
    <w:rsid w:val="00D726F2"/>
    <w:rsid w:val="00DF2D8F"/>
    <w:rsid w:val="00E56B10"/>
    <w:rsid w:val="00E57A80"/>
    <w:rsid w:val="00E8727A"/>
    <w:rsid w:val="00F43D07"/>
    <w:rsid w:val="00FD4C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D60F"/>
  <w15:chartTrackingRefBased/>
  <w15:docId w15:val="{76A7C1BD-9E71-4D44-BB87-5C82AD1B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0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7466"/>
    <w:rPr>
      <w:color w:val="808080"/>
    </w:rPr>
  </w:style>
  <w:style w:type="character" w:styleId="CommentReference">
    <w:name w:val="annotation reference"/>
    <w:basedOn w:val="DefaultParagraphFont"/>
    <w:uiPriority w:val="99"/>
    <w:semiHidden/>
    <w:unhideWhenUsed/>
    <w:rsid w:val="00575C98"/>
    <w:rPr>
      <w:sz w:val="16"/>
      <w:szCs w:val="16"/>
    </w:rPr>
  </w:style>
  <w:style w:type="paragraph" w:styleId="CommentText">
    <w:name w:val="annotation text"/>
    <w:basedOn w:val="Normal"/>
    <w:link w:val="CommentTextChar"/>
    <w:uiPriority w:val="99"/>
    <w:semiHidden/>
    <w:unhideWhenUsed/>
    <w:rsid w:val="00575C98"/>
    <w:pPr>
      <w:spacing w:line="240" w:lineRule="auto"/>
    </w:pPr>
    <w:rPr>
      <w:sz w:val="20"/>
      <w:szCs w:val="20"/>
    </w:rPr>
  </w:style>
  <w:style w:type="character" w:customStyle="1" w:styleId="CommentTextChar">
    <w:name w:val="Comment Text Char"/>
    <w:basedOn w:val="DefaultParagraphFont"/>
    <w:link w:val="CommentText"/>
    <w:uiPriority w:val="99"/>
    <w:semiHidden/>
    <w:rsid w:val="00575C98"/>
    <w:rPr>
      <w:sz w:val="20"/>
      <w:szCs w:val="20"/>
    </w:rPr>
  </w:style>
  <w:style w:type="paragraph" w:styleId="CommentSubject">
    <w:name w:val="annotation subject"/>
    <w:basedOn w:val="CommentText"/>
    <w:next w:val="CommentText"/>
    <w:link w:val="CommentSubjectChar"/>
    <w:uiPriority w:val="99"/>
    <w:semiHidden/>
    <w:unhideWhenUsed/>
    <w:rsid w:val="00575C98"/>
    <w:rPr>
      <w:b/>
      <w:bCs/>
    </w:rPr>
  </w:style>
  <w:style w:type="character" w:customStyle="1" w:styleId="CommentSubjectChar">
    <w:name w:val="Comment Subject Char"/>
    <w:basedOn w:val="CommentTextChar"/>
    <w:link w:val="CommentSubject"/>
    <w:uiPriority w:val="99"/>
    <w:semiHidden/>
    <w:rsid w:val="00575C98"/>
    <w:rPr>
      <w:b/>
      <w:bCs/>
      <w:sz w:val="20"/>
      <w:szCs w:val="20"/>
    </w:rPr>
  </w:style>
  <w:style w:type="character" w:styleId="Hyperlink">
    <w:name w:val="Hyperlink"/>
    <w:basedOn w:val="DefaultParagraphFont"/>
    <w:uiPriority w:val="99"/>
    <w:unhideWhenUsed/>
    <w:rsid w:val="00575C98"/>
    <w:rPr>
      <w:color w:val="0563C1" w:themeColor="hyperlink"/>
      <w:u w:val="single"/>
    </w:rPr>
  </w:style>
  <w:style w:type="character" w:styleId="UnresolvedMention">
    <w:name w:val="Unresolved Mention"/>
    <w:basedOn w:val="DefaultParagraphFont"/>
    <w:uiPriority w:val="99"/>
    <w:semiHidden/>
    <w:unhideWhenUsed/>
    <w:rsid w:val="00575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services/health/publications/healthy-living/water-talk-drinking-water-screening-values-perfluoroalkylated-substances.html" TargetMode="External"/><Relationship Id="rId3" Type="http://schemas.openxmlformats.org/officeDocument/2006/relationships/webSettings" Target="webSettings.xml"/><Relationship Id="rId7" Type="http://schemas.openxmlformats.org/officeDocument/2006/relationships/hyperlink" Target="https://www.canada.ca/content/dam/eccc/documents/pdf/pded/feqg-pfos/20180620-PFOS-EN.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emf"/><Relationship Id="rId10" Type="http://schemas.openxmlformats.org/officeDocument/2006/relationships/hyperlink" Target="https://www.epa.gov/pfas/epa-actions-address-pfas" TargetMode="External"/><Relationship Id="rId4" Type="http://schemas.openxmlformats.org/officeDocument/2006/relationships/image" Target="media/image1.jpg"/><Relationship Id="rId9" Type="http://schemas.openxmlformats.org/officeDocument/2006/relationships/hyperlink" Target="https://buyandsell.gc.ca/cds/publi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Phillipps</dc:creator>
  <cp:keywords/>
  <dc:description/>
  <cp:lastModifiedBy>Heather Wilson</cp:lastModifiedBy>
  <cp:revision>2</cp:revision>
  <dcterms:created xsi:type="dcterms:W3CDTF">2021-10-15T22:59:00Z</dcterms:created>
  <dcterms:modified xsi:type="dcterms:W3CDTF">2021-10-15T22:59:00Z</dcterms:modified>
</cp:coreProperties>
</file>